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4EABE" w14:textId="6FD39A5D" w:rsidR="00216311" w:rsidRDefault="00216311" w:rsidP="00216311">
      <w:pPr>
        <w:ind w:left="-720" w:firstLine="720"/>
        <w:rPr>
          <w:rFonts w:ascii="Arial" w:hAnsi="Arial" w:cs="Arial"/>
        </w:rPr>
      </w:pPr>
      <w:r w:rsidRPr="00216311">
        <w:rPr>
          <w:rFonts w:ascii="Arial" w:hAnsi="Arial" w:cs="Arial"/>
          <w:noProof/>
        </w:rPr>
        <w:drawing>
          <wp:inline distT="0" distB="0" distL="0" distR="0" wp14:anchorId="39750C7B" wp14:editId="1735222A">
            <wp:extent cx="6290310" cy="1616429"/>
            <wp:effectExtent l="0" t="0" r="0" b="3175"/>
            <wp:docPr id="371456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5657" name="Picture 1" descr="A close-up of a business card&#10;&#10;Description automatically generated"/>
                    <pic:cNvPicPr/>
                  </pic:nvPicPr>
                  <pic:blipFill>
                    <a:blip r:embed="rId7"/>
                    <a:stretch>
                      <a:fillRect/>
                    </a:stretch>
                  </pic:blipFill>
                  <pic:spPr>
                    <a:xfrm>
                      <a:off x="0" y="0"/>
                      <a:ext cx="6301652" cy="1619344"/>
                    </a:xfrm>
                    <a:prstGeom prst="rect">
                      <a:avLst/>
                    </a:prstGeom>
                  </pic:spPr>
                </pic:pic>
              </a:graphicData>
            </a:graphic>
          </wp:inline>
        </w:drawing>
      </w:r>
    </w:p>
    <w:p w14:paraId="7C2B1171" w14:textId="27399CCC" w:rsidR="00216311" w:rsidRPr="00C4224F" w:rsidRDefault="00216311" w:rsidP="00216311">
      <w:pPr>
        <w:rPr>
          <w:rFonts w:ascii="Arial" w:hAnsi="Arial" w:cs="Arial"/>
        </w:rPr>
      </w:pPr>
      <w:r w:rsidRPr="00C4224F">
        <w:rPr>
          <w:rFonts w:ascii="Arial" w:hAnsi="Arial" w:cs="Arial"/>
        </w:rPr>
        <w:t xml:space="preserve">June </w:t>
      </w:r>
      <w:r w:rsidR="0023678C">
        <w:rPr>
          <w:rFonts w:ascii="Arial" w:hAnsi="Arial" w:cs="Arial"/>
        </w:rPr>
        <w:t>29</w:t>
      </w:r>
      <w:r w:rsidRPr="00C4224F">
        <w:rPr>
          <w:rFonts w:ascii="Arial" w:hAnsi="Arial" w:cs="Arial"/>
        </w:rPr>
        <w:t>, 2024</w:t>
      </w:r>
    </w:p>
    <w:p w14:paraId="287DC355" w14:textId="77777777" w:rsidR="00C4224F" w:rsidRDefault="00C4224F" w:rsidP="00216311">
      <w:pPr>
        <w:spacing w:after="0" w:line="240" w:lineRule="auto"/>
        <w:rPr>
          <w:rFonts w:ascii="Arial" w:hAnsi="Arial" w:cs="Arial"/>
          <w:b/>
          <w:bCs/>
        </w:rPr>
      </w:pPr>
    </w:p>
    <w:p w14:paraId="3D624CB4" w14:textId="15A9A724" w:rsidR="00216311" w:rsidRPr="00C4224F" w:rsidRDefault="00216311" w:rsidP="00216311">
      <w:pPr>
        <w:spacing w:after="0" w:line="240" w:lineRule="auto"/>
        <w:rPr>
          <w:rFonts w:ascii="Arial" w:hAnsi="Arial" w:cs="Arial"/>
        </w:rPr>
      </w:pPr>
      <w:r w:rsidRPr="00C4224F">
        <w:rPr>
          <w:rFonts w:ascii="Arial" w:hAnsi="Arial" w:cs="Arial"/>
          <w:b/>
          <w:bCs/>
        </w:rPr>
        <w:t xml:space="preserve">CHRISTOPHER ALLEN KROBLIN, ESQ. </w:t>
      </w:r>
      <w:r w:rsidRPr="00C4224F">
        <w:rPr>
          <w:rFonts w:ascii="Arial" w:hAnsi="Arial" w:cs="Arial"/>
        </w:rPr>
        <w:tab/>
      </w:r>
      <w:r w:rsidRPr="00C4224F">
        <w:rPr>
          <w:rFonts w:ascii="Arial" w:hAnsi="Arial" w:cs="Arial"/>
        </w:rPr>
        <w:tab/>
      </w:r>
      <w:r w:rsidRPr="00C4224F">
        <w:rPr>
          <w:rFonts w:ascii="Arial" w:hAnsi="Arial" w:cs="Arial"/>
        </w:rPr>
        <w:tab/>
      </w:r>
      <w:r w:rsidRPr="00C4224F">
        <w:rPr>
          <w:rFonts w:ascii="Arial" w:hAnsi="Arial" w:cs="Arial"/>
        </w:rPr>
        <w:tab/>
        <w:t>By Email Only</w:t>
      </w:r>
    </w:p>
    <w:p w14:paraId="6576A489" w14:textId="77777777" w:rsidR="00216311" w:rsidRPr="00C4224F" w:rsidRDefault="00216311" w:rsidP="00216311">
      <w:pPr>
        <w:spacing w:after="0" w:line="240" w:lineRule="auto"/>
        <w:rPr>
          <w:rFonts w:ascii="Arial" w:hAnsi="Arial" w:cs="Arial"/>
          <w:b/>
          <w:bCs/>
        </w:rPr>
      </w:pPr>
      <w:r w:rsidRPr="00C4224F">
        <w:rPr>
          <w:rFonts w:ascii="Arial" w:hAnsi="Arial" w:cs="Arial"/>
          <w:b/>
          <w:bCs/>
        </w:rPr>
        <w:t xml:space="preserve">MARJORIE WHALEN, ESQ. </w:t>
      </w:r>
    </w:p>
    <w:p w14:paraId="0AB6B2E3" w14:textId="77777777" w:rsidR="00216311" w:rsidRPr="00C4224F" w:rsidRDefault="00216311" w:rsidP="00216311">
      <w:pPr>
        <w:spacing w:after="0" w:line="240" w:lineRule="auto"/>
        <w:rPr>
          <w:rFonts w:ascii="Arial" w:hAnsi="Arial" w:cs="Arial"/>
        </w:rPr>
      </w:pPr>
      <w:r w:rsidRPr="00C4224F">
        <w:rPr>
          <w:rFonts w:ascii="Arial" w:hAnsi="Arial" w:cs="Arial"/>
        </w:rPr>
        <w:t xml:space="preserve">KELLERHALS FERGUSON KROBLIN PLLC </w:t>
      </w:r>
    </w:p>
    <w:p w14:paraId="03548A8C" w14:textId="77777777" w:rsidR="00216311" w:rsidRPr="00C4224F" w:rsidRDefault="00216311" w:rsidP="00216311">
      <w:pPr>
        <w:spacing w:after="0" w:line="240" w:lineRule="auto"/>
        <w:rPr>
          <w:rFonts w:ascii="Arial" w:hAnsi="Arial" w:cs="Arial"/>
        </w:rPr>
      </w:pPr>
      <w:r w:rsidRPr="00C4224F">
        <w:rPr>
          <w:rFonts w:ascii="Arial" w:hAnsi="Arial" w:cs="Arial"/>
        </w:rPr>
        <w:t xml:space="preserve">Royal Palms Professional Building </w:t>
      </w:r>
    </w:p>
    <w:p w14:paraId="71137FF1" w14:textId="77777777" w:rsidR="00216311" w:rsidRPr="00C4224F" w:rsidRDefault="00216311" w:rsidP="00216311">
      <w:pPr>
        <w:spacing w:after="0" w:line="240" w:lineRule="auto"/>
        <w:rPr>
          <w:rFonts w:ascii="Arial" w:hAnsi="Arial" w:cs="Arial"/>
        </w:rPr>
      </w:pPr>
      <w:r w:rsidRPr="00C4224F">
        <w:rPr>
          <w:rFonts w:ascii="Arial" w:hAnsi="Arial" w:cs="Arial"/>
        </w:rPr>
        <w:t xml:space="preserve">9053 Estate Thomas, Suite 101 </w:t>
      </w:r>
    </w:p>
    <w:p w14:paraId="349A7B46" w14:textId="77777777" w:rsidR="00216311" w:rsidRPr="00C4224F" w:rsidRDefault="00216311" w:rsidP="00216311">
      <w:pPr>
        <w:spacing w:after="0" w:line="240" w:lineRule="auto"/>
        <w:rPr>
          <w:rFonts w:ascii="Arial" w:hAnsi="Arial" w:cs="Arial"/>
        </w:rPr>
      </w:pPr>
      <w:r w:rsidRPr="00C4224F">
        <w:rPr>
          <w:rFonts w:ascii="Arial" w:hAnsi="Arial" w:cs="Arial"/>
        </w:rPr>
        <w:t xml:space="preserve">St. Thomas, V.I. 00802-3602 </w:t>
      </w:r>
    </w:p>
    <w:p w14:paraId="5BD11DC2" w14:textId="6FD793D7" w:rsidR="00216311" w:rsidRPr="00C4224F" w:rsidRDefault="00216311" w:rsidP="00216311">
      <w:pPr>
        <w:spacing w:after="0" w:line="240" w:lineRule="auto"/>
        <w:rPr>
          <w:rFonts w:ascii="Arial" w:hAnsi="Arial" w:cs="Arial"/>
        </w:rPr>
      </w:pPr>
      <w:r w:rsidRPr="00C4224F">
        <w:rPr>
          <w:rFonts w:ascii="Arial" w:hAnsi="Arial" w:cs="Arial"/>
        </w:rPr>
        <w:t>Email: ckroblin@kellfer.com</w:t>
      </w:r>
      <w:r w:rsidR="00C4224F" w:rsidRPr="00C4224F">
        <w:rPr>
          <w:rFonts w:ascii="Arial" w:hAnsi="Arial" w:cs="Arial"/>
        </w:rPr>
        <w:t>;</w:t>
      </w:r>
      <w:r w:rsidRPr="00C4224F">
        <w:rPr>
          <w:rFonts w:ascii="Arial" w:hAnsi="Arial" w:cs="Arial"/>
        </w:rPr>
        <w:t xml:space="preserve"> mwhalen@kellfer.com</w:t>
      </w:r>
    </w:p>
    <w:p w14:paraId="1EB5B706" w14:textId="77777777" w:rsidR="00216311" w:rsidRPr="00C4224F" w:rsidRDefault="00216311" w:rsidP="00216311">
      <w:pPr>
        <w:spacing w:after="0" w:line="240" w:lineRule="auto"/>
        <w:rPr>
          <w:rFonts w:ascii="Arial" w:hAnsi="Arial" w:cs="Arial"/>
        </w:rPr>
      </w:pPr>
    </w:p>
    <w:p w14:paraId="1EAF0DD1" w14:textId="77777777" w:rsidR="0023678C" w:rsidRDefault="0023678C" w:rsidP="00216311">
      <w:pPr>
        <w:spacing w:after="0" w:line="240" w:lineRule="auto"/>
        <w:rPr>
          <w:rFonts w:ascii="Arial" w:hAnsi="Arial" w:cs="Arial"/>
          <w:b/>
          <w:bCs/>
        </w:rPr>
      </w:pPr>
      <w:r>
        <w:rPr>
          <w:rFonts w:ascii="Arial" w:hAnsi="Arial" w:cs="Arial"/>
          <w:b/>
          <w:bCs/>
        </w:rPr>
        <w:t>Copies to:</w:t>
      </w:r>
    </w:p>
    <w:p w14:paraId="0A1BC482" w14:textId="77777777" w:rsidR="0023678C" w:rsidRDefault="0023678C" w:rsidP="00216311">
      <w:pPr>
        <w:spacing w:after="0" w:line="240" w:lineRule="auto"/>
        <w:rPr>
          <w:rFonts w:ascii="Arial" w:hAnsi="Arial" w:cs="Arial"/>
          <w:b/>
          <w:bCs/>
        </w:rPr>
      </w:pPr>
    </w:p>
    <w:p w14:paraId="59110DEB" w14:textId="3CB1BFE7" w:rsidR="00C4224F" w:rsidRPr="00C4224F" w:rsidRDefault="00C4224F" w:rsidP="00216311">
      <w:pPr>
        <w:spacing w:after="0" w:line="240" w:lineRule="auto"/>
        <w:rPr>
          <w:rFonts w:ascii="Arial" w:hAnsi="Arial" w:cs="Arial"/>
        </w:rPr>
      </w:pPr>
      <w:r w:rsidRPr="00357B7B">
        <w:rPr>
          <w:rFonts w:ascii="Arial" w:hAnsi="Arial" w:cs="Arial"/>
          <w:b/>
          <w:bCs/>
        </w:rPr>
        <w:t xml:space="preserve">Charlotte K. Perrell, Esq. </w:t>
      </w:r>
      <w:r w:rsidRPr="00357B7B">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4224F">
        <w:rPr>
          <w:rFonts w:ascii="Arial" w:hAnsi="Arial" w:cs="Arial"/>
        </w:rPr>
        <w:t>By Email Only</w:t>
      </w:r>
    </w:p>
    <w:p w14:paraId="080FD24E" w14:textId="77777777" w:rsidR="00C4224F" w:rsidRPr="00357B7B" w:rsidRDefault="00C4224F" w:rsidP="00216311">
      <w:pPr>
        <w:spacing w:after="0" w:line="240" w:lineRule="auto"/>
        <w:rPr>
          <w:rFonts w:ascii="Arial" w:hAnsi="Arial" w:cs="Arial"/>
          <w:b/>
          <w:bCs/>
        </w:rPr>
      </w:pPr>
      <w:r w:rsidRPr="00357B7B">
        <w:rPr>
          <w:rFonts w:ascii="Arial" w:hAnsi="Arial" w:cs="Arial"/>
          <w:b/>
          <w:bCs/>
        </w:rPr>
        <w:t xml:space="preserve">Stefan B. Herpel, Esq. </w:t>
      </w:r>
    </w:p>
    <w:p w14:paraId="5708026C" w14:textId="77777777" w:rsidR="00C4224F" w:rsidRPr="00C4224F" w:rsidRDefault="00C4224F" w:rsidP="00216311">
      <w:pPr>
        <w:spacing w:after="0" w:line="240" w:lineRule="auto"/>
        <w:rPr>
          <w:rFonts w:ascii="Arial" w:hAnsi="Arial" w:cs="Arial"/>
        </w:rPr>
      </w:pPr>
      <w:r w:rsidRPr="00C4224F">
        <w:rPr>
          <w:rFonts w:ascii="Arial" w:hAnsi="Arial" w:cs="Arial"/>
        </w:rPr>
        <w:t xml:space="preserve">DUDLEY NEWMAN FEUERZEIG LLP </w:t>
      </w:r>
    </w:p>
    <w:p w14:paraId="028FCC3D" w14:textId="77777777" w:rsidR="00C4224F" w:rsidRPr="00C4224F" w:rsidRDefault="00C4224F" w:rsidP="00216311">
      <w:pPr>
        <w:spacing w:after="0" w:line="240" w:lineRule="auto"/>
        <w:rPr>
          <w:rFonts w:ascii="Arial" w:hAnsi="Arial" w:cs="Arial"/>
        </w:rPr>
      </w:pPr>
      <w:r w:rsidRPr="00C4224F">
        <w:rPr>
          <w:rFonts w:ascii="Arial" w:hAnsi="Arial" w:cs="Arial"/>
        </w:rPr>
        <w:t xml:space="preserve">Law House </w:t>
      </w:r>
    </w:p>
    <w:p w14:paraId="1205946F" w14:textId="77777777" w:rsidR="00C4224F" w:rsidRPr="00C4224F" w:rsidRDefault="00C4224F" w:rsidP="00216311">
      <w:pPr>
        <w:spacing w:after="0" w:line="240" w:lineRule="auto"/>
        <w:rPr>
          <w:rFonts w:ascii="Arial" w:hAnsi="Arial" w:cs="Arial"/>
        </w:rPr>
      </w:pPr>
      <w:r w:rsidRPr="00C4224F">
        <w:rPr>
          <w:rFonts w:ascii="Arial" w:hAnsi="Arial" w:cs="Arial"/>
        </w:rPr>
        <w:t xml:space="preserve">1000 Frederiksberg Gade </w:t>
      </w:r>
    </w:p>
    <w:p w14:paraId="00951975" w14:textId="77777777" w:rsidR="00C4224F" w:rsidRPr="00C4224F" w:rsidRDefault="00C4224F" w:rsidP="00216311">
      <w:pPr>
        <w:spacing w:after="0" w:line="240" w:lineRule="auto"/>
        <w:rPr>
          <w:rFonts w:ascii="Arial" w:hAnsi="Arial" w:cs="Arial"/>
        </w:rPr>
      </w:pPr>
      <w:r w:rsidRPr="00C4224F">
        <w:rPr>
          <w:rFonts w:ascii="Arial" w:hAnsi="Arial" w:cs="Arial"/>
        </w:rPr>
        <w:t xml:space="preserve">P.O. Box 756 </w:t>
      </w:r>
    </w:p>
    <w:p w14:paraId="48F8BD9E" w14:textId="77777777" w:rsidR="00C4224F" w:rsidRPr="00C4224F" w:rsidRDefault="00C4224F" w:rsidP="00216311">
      <w:pPr>
        <w:spacing w:after="0" w:line="240" w:lineRule="auto"/>
        <w:rPr>
          <w:rFonts w:ascii="Arial" w:hAnsi="Arial" w:cs="Arial"/>
        </w:rPr>
      </w:pPr>
      <w:r w:rsidRPr="00C4224F">
        <w:rPr>
          <w:rFonts w:ascii="Arial" w:hAnsi="Arial" w:cs="Arial"/>
        </w:rPr>
        <w:t xml:space="preserve">St. Thomas, VI 00804-0756 </w:t>
      </w:r>
    </w:p>
    <w:p w14:paraId="3D69B554" w14:textId="22A24DCB" w:rsidR="00C4224F" w:rsidRPr="00C4224F" w:rsidRDefault="00C4224F" w:rsidP="00216311">
      <w:pPr>
        <w:spacing w:after="0" w:line="240" w:lineRule="auto"/>
        <w:rPr>
          <w:rFonts w:ascii="Arial" w:hAnsi="Arial" w:cs="Arial"/>
        </w:rPr>
      </w:pPr>
      <w:r w:rsidRPr="00C4224F">
        <w:rPr>
          <w:rFonts w:ascii="Arial" w:hAnsi="Arial" w:cs="Arial"/>
        </w:rPr>
        <w:t>Email: cperrell@dnfvi.com, sherpel@dnfvi.com</w:t>
      </w:r>
    </w:p>
    <w:p w14:paraId="046226B9" w14:textId="77777777" w:rsidR="00C4224F" w:rsidRPr="00C4224F" w:rsidRDefault="00C4224F" w:rsidP="00216311">
      <w:pPr>
        <w:spacing w:after="0" w:line="240" w:lineRule="auto"/>
        <w:rPr>
          <w:rFonts w:ascii="Arial" w:hAnsi="Arial" w:cs="Arial"/>
          <w:b/>
          <w:bCs/>
        </w:rPr>
      </w:pPr>
    </w:p>
    <w:p w14:paraId="660EA1B4" w14:textId="33DD7005" w:rsidR="00C4224F" w:rsidRPr="00C4224F" w:rsidRDefault="00C4224F" w:rsidP="00216311">
      <w:pPr>
        <w:spacing w:after="0" w:line="240" w:lineRule="auto"/>
        <w:rPr>
          <w:rFonts w:ascii="Arial" w:hAnsi="Arial" w:cs="Arial"/>
          <w:b/>
          <w:bCs/>
        </w:rPr>
      </w:pPr>
      <w:r w:rsidRPr="00C4224F">
        <w:rPr>
          <w:rFonts w:ascii="Arial" w:hAnsi="Arial" w:cs="Arial"/>
          <w:b/>
          <w:bCs/>
        </w:rPr>
        <w:t xml:space="preserve">Joel H. Holt, Esq.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C4224F">
        <w:rPr>
          <w:rFonts w:ascii="Arial" w:hAnsi="Arial" w:cs="Arial"/>
        </w:rPr>
        <w:t>By Email Only</w:t>
      </w:r>
    </w:p>
    <w:p w14:paraId="73381687" w14:textId="77777777" w:rsidR="00C4224F" w:rsidRPr="00C4224F" w:rsidRDefault="00C4224F" w:rsidP="00216311">
      <w:pPr>
        <w:spacing w:after="0" w:line="240" w:lineRule="auto"/>
        <w:rPr>
          <w:rFonts w:ascii="Arial" w:hAnsi="Arial" w:cs="Arial"/>
        </w:rPr>
      </w:pPr>
      <w:r w:rsidRPr="00C4224F">
        <w:rPr>
          <w:rFonts w:ascii="Arial" w:hAnsi="Arial" w:cs="Arial"/>
        </w:rPr>
        <w:t xml:space="preserve">Law Offices of Joel H. Holt </w:t>
      </w:r>
    </w:p>
    <w:p w14:paraId="2B88B65C" w14:textId="77777777" w:rsidR="00C4224F" w:rsidRPr="00C4224F" w:rsidRDefault="00C4224F" w:rsidP="00216311">
      <w:pPr>
        <w:spacing w:after="0" w:line="240" w:lineRule="auto"/>
        <w:rPr>
          <w:rFonts w:ascii="Arial" w:hAnsi="Arial" w:cs="Arial"/>
        </w:rPr>
      </w:pPr>
      <w:r w:rsidRPr="00C4224F">
        <w:rPr>
          <w:rFonts w:ascii="Arial" w:hAnsi="Arial" w:cs="Arial"/>
        </w:rPr>
        <w:t xml:space="preserve">2132 Company Street </w:t>
      </w:r>
    </w:p>
    <w:p w14:paraId="4D94258E" w14:textId="77777777" w:rsidR="00C4224F" w:rsidRPr="00C4224F" w:rsidRDefault="00C4224F" w:rsidP="00216311">
      <w:pPr>
        <w:spacing w:after="0" w:line="240" w:lineRule="auto"/>
        <w:rPr>
          <w:rFonts w:ascii="Arial" w:hAnsi="Arial" w:cs="Arial"/>
        </w:rPr>
      </w:pPr>
      <w:r w:rsidRPr="00C4224F">
        <w:rPr>
          <w:rFonts w:ascii="Arial" w:hAnsi="Arial" w:cs="Arial"/>
        </w:rPr>
        <w:t xml:space="preserve">Christiansted, USVI 00802 </w:t>
      </w:r>
    </w:p>
    <w:p w14:paraId="462594F1" w14:textId="77777777" w:rsidR="00C4224F" w:rsidRPr="00C4224F" w:rsidRDefault="00C4224F" w:rsidP="00216311">
      <w:pPr>
        <w:spacing w:after="0" w:line="240" w:lineRule="auto"/>
        <w:rPr>
          <w:rFonts w:ascii="Arial" w:hAnsi="Arial" w:cs="Arial"/>
        </w:rPr>
      </w:pPr>
      <w:r w:rsidRPr="00C4224F">
        <w:rPr>
          <w:rFonts w:ascii="Arial" w:hAnsi="Arial" w:cs="Arial"/>
        </w:rPr>
        <w:t xml:space="preserve">Email: holtvi.@aol.com </w:t>
      </w:r>
    </w:p>
    <w:p w14:paraId="7BC55A7C" w14:textId="77777777" w:rsidR="00C4224F" w:rsidRPr="00C4224F" w:rsidRDefault="00C4224F" w:rsidP="00216311">
      <w:pPr>
        <w:spacing w:after="0" w:line="240" w:lineRule="auto"/>
        <w:rPr>
          <w:rFonts w:ascii="Arial" w:hAnsi="Arial" w:cs="Arial"/>
        </w:rPr>
      </w:pPr>
    </w:p>
    <w:p w14:paraId="69D16913" w14:textId="700ED2B0" w:rsidR="00C4224F" w:rsidRPr="00C4224F" w:rsidRDefault="00C4224F" w:rsidP="00216311">
      <w:pPr>
        <w:spacing w:after="0" w:line="240" w:lineRule="auto"/>
        <w:rPr>
          <w:rFonts w:ascii="Arial" w:hAnsi="Arial" w:cs="Arial"/>
        </w:rPr>
      </w:pPr>
      <w:r w:rsidRPr="00C4224F">
        <w:rPr>
          <w:rFonts w:ascii="Arial" w:hAnsi="Arial" w:cs="Arial"/>
          <w:b/>
          <w:bCs/>
        </w:rPr>
        <w:t>Kevin A. Rames, Esq</w:t>
      </w:r>
      <w:r w:rsidRPr="00C4224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4224F">
        <w:rPr>
          <w:rFonts w:ascii="Arial" w:hAnsi="Arial" w:cs="Arial"/>
        </w:rPr>
        <w:t>By Email Only</w:t>
      </w:r>
    </w:p>
    <w:p w14:paraId="4F94B384" w14:textId="77777777" w:rsidR="00C4224F" w:rsidRPr="00C4224F" w:rsidRDefault="00C4224F" w:rsidP="00216311">
      <w:pPr>
        <w:spacing w:after="0" w:line="240" w:lineRule="auto"/>
        <w:rPr>
          <w:rFonts w:ascii="Arial" w:hAnsi="Arial" w:cs="Arial"/>
        </w:rPr>
      </w:pPr>
      <w:r w:rsidRPr="00C4224F">
        <w:rPr>
          <w:rFonts w:ascii="Arial" w:hAnsi="Arial" w:cs="Arial"/>
        </w:rPr>
        <w:t xml:space="preserve">Kevin A. Rames, P.C. </w:t>
      </w:r>
    </w:p>
    <w:p w14:paraId="209970FD" w14:textId="77777777" w:rsidR="00C4224F" w:rsidRPr="00C4224F" w:rsidRDefault="00C4224F" w:rsidP="00216311">
      <w:pPr>
        <w:spacing w:after="0" w:line="240" w:lineRule="auto"/>
        <w:rPr>
          <w:rFonts w:ascii="Arial" w:hAnsi="Arial" w:cs="Arial"/>
        </w:rPr>
      </w:pPr>
      <w:r w:rsidRPr="00C4224F">
        <w:rPr>
          <w:rFonts w:ascii="Arial" w:hAnsi="Arial" w:cs="Arial"/>
        </w:rPr>
        <w:t xml:space="preserve">2111 Company Street, Suite 3 </w:t>
      </w:r>
    </w:p>
    <w:p w14:paraId="700C9F99" w14:textId="77777777" w:rsidR="00C4224F" w:rsidRPr="00C4224F" w:rsidRDefault="00C4224F" w:rsidP="00216311">
      <w:pPr>
        <w:spacing w:after="0" w:line="240" w:lineRule="auto"/>
        <w:rPr>
          <w:rFonts w:ascii="Arial" w:hAnsi="Arial" w:cs="Arial"/>
        </w:rPr>
      </w:pPr>
      <w:r w:rsidRPr="00C4224F">
        <w:rPr>
          <w:rFonts w:ascii="Arial" w:hAnsi="Arial" w:cs="Arial"/>
        </w:rPr>
        <w:t xml:space="preserve">Christiansted, VI 00820 </w:t>
      </w:r>
    </w:p>
    <w:p w14:paraId="519119E5" w14:textId="00590D60" w:rsidR="00216311" w:rsidRDefault="00C4224F" w:rsidP="00216311">
      <w:pPr>
        <w:spacing w:after="0" w:line="240" w:lineRule="auto"/>
        <w:rPr>
          <w:rFonts w:ascii="Arial" w:hAnsi="Arial" w:cs="Arial"/>
        </w:rPr>
      </w:pPr>
      <w:r w:rsidRPr="00C4224F">
        <w:rPr>
          <w:rFonts w:ascii="Arial" w:hAnsi="Arial" w:cs="Arial"/>
        </w:rPr>
        <w:t xml:space="preserve">Email: </w:t>
      </w:r>
      <w:hyperlink r:id="rId8" w:history="1">
        <w:r w:rsidRPr="00C4224F">
          <w:rPr>
            <w:rStyle w:val="Hyperlink"/>
            <w:rFonts w:ascii="Arial" w:hAnsi="Arial" w:cs="Arial"/>
          </w:rPr>
          <w:t>kevin.rames@rameslaw.com</w:t>
        </w:r>
      </w:hyperlink>
    </w:p>
    <w:p w14:paraId="6741AFAA" w14:textId="77777777" w:rsidR="0023678C" w:rsidRDefault="0023678C" w:rsidP="00216311">
      <w:pPr>
        <w:spacing w:after="0" w:line="240" w:lineRule="auto"/>
        <w:rPr>
          <w:b/>
          <w:bCs/>
          <w:u w:val="single"/>
        </w:rPr>
      </w:pPr>
    </w:p>
    <w:p w14:paraId="43A1AB53" w14:textId="6157BB55" w:rsidR="00C4224F" w:rsidRPr="00C4224F" w:rsidRDefault="00C4224F" w:rsidP="00216311">
      <w:pPr>
        <w:spacing w:after="0" w:line="240" w:lineRule="auto"/>
        <w:rPr>
          <w:rFonts w:ascii="Arial" w:hAnsi="Arial" w:cs="Arial"/>
          <w:u w:val="single"/>
        </w:rPr>
      </w:pPr>
      <w:r w:rsidRPr="00C4224F">
        <w:rPr>
          <w:b/>
          <w:bCs/>
          <w:u w:val="single"/>
        </w:rPr>
        <w:t>RE:</w:t>
      </w:r>
      <w:r w:rsidRPr="00C4224F">
        <w:rPr>
          <w:rFonts w:ascii="Arial" w:hAnsi="Arial" w:cs="Arial"/>
          <w:u w:val="single"/>
        </w:rPr>
        <w:t xml:space="preserve"> </w:t>
      </w:r>
      <w:r w:rsidR="0023678C">
        <w:rPr>
          <w:rFonts w:ascii="Arial" w:hAnsi="Arial" w:cs="Arial"/>
          <w:u w:val="single"/>
        </w:rPr>
        <w:t>Simplification of the three “meet &amp; confer” conference SM Ross has ordered</w:t>
      </w:r>
    </w:p>
    <w:p w14:paraId="183B30A6" w14:textId="77777777" w:rsidR="00216311" w:rsidRPr="00216311" w:rsidRDefault="00216311" w:rsidP="00216311">
      <w:pPr>
        <w:spacing w:after="0" w:line="240" w:lineRule="auto"/>
        <w:rPr>
          <w:rFonts w:ascii="Arial" w:hAnsi="Arial" w:cs="Arial"/>
        </w:rPr>
      </w:pPr>
    </w:p>
    <w:p w14:paraId="132C85A5" w14:textId="77777777" w:rsidR="00C4224F" w:rsidRDefault="00C4224F" w:rsidP="006318A0">
      <w:pPr>
        <w:autoSpaceDE w:val="0"/>
        <w:autoSpaceDN w:val="0"/>
        <w:adjustRightInd w:val="0"/>
        <w:spacing w:after="0" w:line="480" w:lineRule="auto"/>
        <w:rPr>
          <w:rFonts w:ascii="Arial" w:hAnsi="Arial" w:cs="Arial"/>
          <w:color w:val="666666"/>
          <w:kern w:val="0"/>
        </w:rPr>
      </w:pPr>
    </w:p>
    <w:p w14:paraId="696A839E" w14:textId="77777777" w:rsidR="0023678C" w:rsidRDefault="0023678C" w:rsidP="0023678C">
      <w:r>
        <w:lastRenderedPageBreak/>
        <w:t>Chris:</w:t>
      </w:r>
    </w:p>
    <w:p w14:paraId="0DB342A1" w14:textId="3913453F" w:rsidR="0023678C" w:rsidRDefault="0023678C" w:rsidP="0023678C">
      <w:r>
        <w:t xml:space="preserve">To try to simplify the three “meet and confers” that Judge Ross has ordered you and I to do, I have (1) </w:t>
      </w:r>
      <w:r w:rsidR="001E56AE">
        <w:t xml:space="preserve">collected and attached </w:t>
      </w:r>
      <w:r>
        <w:t>the motions, oppositions and replies as exhibits here, and for each, I have done</w:t>
      </w:r>
      <w:r w:rsidR="001E56AE">
        <w:t xml:space="preserve"> (below)</w:t>
      </w:r>
      <w:r>
        <w:t xml:space="preserve"> a short analysis of where I believe we are. These are the three documents:</w:t>
      </w:r>
    </w:p>
    <w:p w14:paraId="310FC3ED" w14:textId="77777777" w:rsidR="0023678C" w:rsidRDefault="0023678C" w:rsidP="0023678C">
      <w:pPr>
        <w:ind w:left="720"/>
      </w:pPr>
      <w:r>
        <w:t xml:space="preserve">1. Hamed asks that counsel for </w:t>
      </w:r>
      <w:r w:rsidRPr="0054539F">
        <w:rPr>
          <w:b/>
          <w:bCs/>
        </w:rPr>
        <w:t xml:space="preserve">Isam </w:t>
      </w:r>
      <w:r>
        <w:t xml:space="preserve">Yousuf meet and confer before July 12, 2024, as to the issues raised </w:t>
      </w:r>
      <w:r w:rsidRPr="0054539F">
        <w:rPr>
          <w:b/>
          <w:bCs/>
        </w:rPr>
        <w:t>in HH’s November 23, 2022 motion to compel.</w:t>
      </w:r>
      <w:r>
        <w:t xml:space="preserve">  (Attached </w:t>
      </w:r>
    </w:p>
    <w:p w14:paraId="44DC1FBB" w14:textId="77777777" w:rsidR="0023678C" w:rsidRDefault="0023678C" w:rsidP="0023678C">
      <w:pPr>
        <w:ind w:left="720"/>
      </w:pPr>
      <w:r>
        <w:t xml:space="preserve">2. Hamed asks that counsel </w:t>
      </w:r>
      <w:r w:rsidRPr="0054539F">
        <w:rPr>
          <w:b/>
          <w:bCs/>
        </w:rPr>
        <w:t>for Manal</w:t>
      </w:r>
      <w:r>
        <w:t xml:space="preserve"> Yousef meet and confer before July 12, 2024, as to the issues raised in </w:t>
      </w:r>
      <w:r w:rsidRPr="0054539F">
        <w:rPr>
          <w:b/>
          <w:bCs/>
        </w:rPr>
        <w:t>MY’s July 11, 2017</w:t>
      </w:r>
      <w:r>
        <w:t xml:space="preserve"> motion for protective order. </w:t>
      </w:r>
    </w:p>
    <w:p w14:paraId="4BBA3175" w14:textId="77777777" w:rsidR="0023678C" w:rsidRDefault="0023678C" w:rsidP="0023678C">
      <w:pPr>
        <w:ind w:left="720"/>
      </w:pPr>
      <w:r>
        <w:t xml:space="preserve">6. Hamed asks that counsel </w:t>
      </w:r>
      <w:r w:rsidRPr="0054539F">
        <w:rPr>
          <w:b/>
          <w:bCs/>
        </w:rPr>
        <w:t>for Manal</w:t>
      </w:r>
      <w:r>
        <w:t xml:space="preserve"> Yousef meet and confer before July 12, 2024, as to the issues raised in in </w:t>
      </w:r>
      <w:r w:rsidRPr="0054539F">
        <w:rPr>
          <w:b/>
          <w:bCs/>
        </w:rPr>
        <w:t xml:space="preserve">SPC's January 3, 2023 first motion to compel </w:t>
      </w:r>
      <w:r>
        <w:t>discovery responses from MY as to address, agent's information, accounting and tax information…</w:t>
      </w:r>
    </w:p>
    <w:p w14:paraId="41083E41" w14:textId="38BF3B3E" w:rsidR="0023678C" w:rsidRDefault="0023678C" w:rsidP="0023678C">
      <w:r>
        <w:t xml:space="preserve">Since we have to “report” back to him </w:t>
      </w:r>
      <w:r w:rsidRPr="0023678C">
        <w:rPr>
          <w:i/>
          <w:iCs/>
          <w:u w:val="single"/>
        </w:rPr>
        <w:t>in some detail</w:t>
      </w:r>
      <w:r>
        <w:t xml:space="preserve"> I </w:t>
      </w:r>
      <w:r w:rsidR="001E56AE">
        <w:t>below</w:t>
      </w:r>
      <w:r>
        <w:t xml:space="preserve"> is a form that shows each side’s position</w:t>
      </w:r>
      <w:r w:rsidR="001E56AE">
        <w:t xml:space="preserve">s on the issue, the positions on law and </w:t>
      </w:r>
      <w:r>
        <w:t>our proposed resolution</w:t>
      </w:r>
      <w:r w:rsidR="001E56AE">
        <w:t xml:space="preserve"> or remaining dispute</w:t>
      </w:r>
      <w:r>
        <w:t xml:space="preserve">. </w:t>
      </w:r>
    </w:p>
    <w:p w14:paraId="4EE40657" w14:textId="4A7419DE" w:rsidR="0023678C" w:rsidRDefault="0023678C" w:rsidP="0023678C">
      <w:r>
        <w:t>As you will note, the second item has already been resolved—though it will require you to confirm this with Manal Yousef.</w:t>
      </w:r>
      <w:r w:rsidR="001E56AE">
        <w:t xml:space="preserve"> As for the other two, I’m sure we can resolve the issues involved in well under a half hour. I hope this is </w:t>
      </w:r>
      <w:proofErr w:type="gramStart"/>
      <w:r w:rsidR="001E56AE">
        <w:t>helpful, and</w:t>
      </w:r>
      <w:proofErr w:type="gramEnd"/>
      <w:r w:rsidR="001E56AE">
        <w:t xml:space="preserve"> am copying it to Charlotte and Stephan as an example—as we have to do the same type of conference as to one document.</w:t>
      </w:r>
    </w:p>
    <w:p w14:paraId="74491AE7" w14:textId="77777777" w:rsidR="0023678C" w:rsidRPr="0023678C" w:rsidRDefault="0023678C" w:rsidP="0023678C">
      <w:pPr>
        <w:pStyle w:val="ListParagraph"/>
        <w:numPr>
          <w:ilvl w:val="0"/>
          <w:numId w:val="12"/>
        </w:numPr>
      </w:pPr>
      <w:r w:rsidRPr="0054539F">
        <w:rPr>
          <w:b/>
          <w:bCs/>
        </w:rPr>
        <w:t xml:space="preserve">HH’s November 23, 2022 </w:t>
      </w:r>
      <w:r>
        <w:rPr>
          <w:b/>
          <w:bCs/>
        </w:rPr>
        <w:t xml:space="preserve">(second) </w:t>
      </w:r>
      <w:r w:rsidRPr="0054539F">
        <w:rPr>
          <w:b/>
          <w:bCs/>
        </w:rPr>
        <w:t>motion to compel</w:t>
      </w:r>
      <w:r>
        <w:rPr>
          <w:b/>
          <w:bCs/>
        </w:rPr>
        <w:t xml:space="preserve"> to Isam (the first motion to compel was withdrawn (See attached Exhibit A)</w:t>
      </w:r>
    </w:p>
    <w:p w14:paraId="442DC334" w14:textId="77777777" w:rsidR="0023678C" w:rsidRPr="000B4C0C" w:rsidRDefault="0023678C" w:rsidP="0023678C">
      <w:pPr>
        <w:pStyle w:val="ListParagraph"/>
        <w:ind w:left="1080"/>
      </w:pPr>
    </w:p>
    <w:p w14:paraId="339A0136" w14:textId="77777777" w:rsidR="0023678C" w:rsidRDefault="0023678C" w:rsidP="0023678C">
      <w:pPr>
        <w:pStyle w:val="ListParagraph"/>
        <w:numPr>
          <w:ilvl w:val="0"/>
          <w:numId w:val="13"/>
        </w:numPr>
      </w:pPr>
      <w:r w:rsidRPr="00D018E1">
        <w:rPr>
          <w:b/>
          <w:bCs/>
        </w:rPr>
        <w:t>The Issue</w:t>
      </w:r>
      <w:r>
        <w:t>: Isam’s Bank Records from St. Martin for the relevant time period from 1996-2000; believed (based on numerous governmental documents) to (still) be in the possession of the bank, the prosecutor and the police. Hamed’s Request: A jointly drafted letter to all three entities seeking the well-defined] document set. Hymes’ position: Isam doesn’t have them, Isam SAYS he asked the bank and the bank says they don’t have them—and “No” to the prosecutor and police.</w:t>
      </w:r>
    </w:p>
    <w:p w14:paraId="362D40AC" w14:textId="3E0F3DC2" w:rsidR="0023678C" w:rsidRDefault="0023678C" w:rsidP="0023678C">
      <w:pPr>
        <w:pStyle w:val="ListParagraph"/>
        <w:numPr>
          <w:ilvl w:val="0"/>
          <w:numId w:val="13"/>
        </w:numPr>
      </w:pPr>
      <w:r w:rsidRPr="00D018E1">
        <w:rPr>
          <w:b/>
          <w:bCs/>
        </w:rPr>
        <w:t>Hamed legal position</w:t>
      </w:r>
      <w:r>
        <w:t xml:space="preserve">: Cases say a person’s document in possession of third-party are “in their control” and must be sought. The letter would be vanilla and jointly drafted. There seems to be no issue—and it is VERY likely none of the three entities </w:t>
      </w:r>
      <w:r>
        <w:lastRenderedPageBreak/>
        <w:t xml:space="preserve">would still have them—but Hamed HAS to ask. The documents would show the movement of the funds for the $4 million at issue. They are referenced and </w:t>
      </w:r>
      <w:r w:rsidR="001E56AE">
        <w:t>quoted</w:t>
      </w:r>
      <w:r>
        <w:t xml:space="preserve"> in several sets of documents.</w:t>
      </w:r>
    </w:p>
    <w:p w14:paraId="0116C7FA" w14:textId="77777777" w:rsidR="0023678C" w:rsidRPr="00D018E1" w:rsidRDefault="0023678C" w:rsidP="0023678C">
      <w:pPr>
        <w:pStyle w:val="ListParagraph"/>
        <w:numPr>
          <w:ilvl w:val="0"/>
          <w:numId w:val="13"/>
        </w:numPr>
        <w:rPr>
          <w:b/>
          <w:bCs/>
        </w:rPr>
      </w:pPr>
      <w:r w:rsidRPr="00D018E1">
        <w:rPr>
          <w:b/>
          <w:bCs/>
        </w:rPr>
        <w:t>Isam Position for Not Agreeing to the Letter:</w:t>
      </w:r>
      <w:r>
        <w:t xml:space="preserve"> Isam’s Opposition, </w:t>
      </w:r>
      <w:r w:rsidRPr="00D018E1">
        <w:t>See attached</w:t>
      </w:r>
      <w:r w:rsidRPr="00D018E1">
        <w:rPr>
          <w:b/>
          <w:bCs/>
        </w:rPr>
        <w:t xml:space="preserve"> Exhibit B</w:t>
      </w:r>
    </w:p>
    <w:p w14:paraId="62026BDA" w14:textId="77777777" w:rsidR="0023678C" w:rsidRPr="00D018E1" w:rsidRDefault="0023678C" w:rsidP="0023678C">
      <w:pPr>
        <w:pStyle w:val="ListParagraph"/>
        <w:numPr>
          <w:ilvl w:val="0"/>
          <w:numId w:val="13"/>
        </w:numPr>
        <w:rPr>
          <w:b/>
          <w:bCs/>
        </w:rPr>
      </w:pPr>
      <w:r w:rsidRPr="00D018E1">
        <w:rPr>
          <w:b/>
          <w:bCs/>
        </w:rPr>
        <w:t xml:space="preserve">Isam Legal position: </w:t>
      </w:r>
      <w:r w:rsidRPr="00D018E1">
        <w:t>Same.</w:t>
      </w:r>
    </w:p>
    <w:p w14:paraId="11F08695" w14:textId="77777777" w:rsidR="0023678C" w:rsidRDefault="0023678C" w:rsidP="0023678C">
      <w:pPr>
        <w:pStyle w:val="ListParagraph"/>
        <w:numPr>
          <w:ilvl w:val="0"/>
          <w:numId w:val="13"/>
        </w:numPr>
        <w:rPr>
          <w:b/>
          <w:bCs/>
        </w:rPr>
      </w:pPr>
      <w:r w:rsidRPr="00D018E1">
        <w:rPr>
          <w:b/>
          <w:bCs/>
        </w:rPr>
        <w:t xml:space="preserve">Hamed’s Reply: </w:t>
      </w:r>
      <w:r w:rsidRPr="00D018E1">
        <w:t>See attached</w:t>
      </w:r>
      <w:r w:rsidRPr="00D018E1">
        <w:rPr>
          <w:b/>
          <w:bCs/>
        </w:rPr>
        <w:t xml:space="preserve"> Exhibit C</w:t>
      </w:r>
    </w:p>
    <w:p w14:paraId="5367AEC9" w14:textId="77777777" w:rsidR="0023678C" w:rsidRDefault="0023678C" w:rsidP="0023678C">
      <w:pPr>
        <w:pStyle w:val="ListParagraph"/>
        <w:rPr>
          <w:b/>
          <w:bCs/>
        </w:rPr>
      </w:pPr>
    </w:p>
    <w:p w14:paraId="4BA938C0" w14:textId="77777777" w:rsidR="0023678C" w:rsidRPr="00692BEF" w:rsidRDefault="0023678C" w:rsidP="0023678C">
      <w:pPr>
        <w:pStyle w:val="ListParagraph"/>
        <w:numPr>
          <w:ilvl w:val="0"/>
          <w:numId w:val="13"/>
        </w:numPr>
        <w:ind w:left="360"/>
        <w:rPr>
          <w:b/>
          <w:bCs/>
        </w:rPr>
      </w:pPr>
      <w:r w:rsidRPr="00692BEF">
        <w:rPr>
          <w:b/>
          <w:bCs/>
        </w:rPr>
        <w:t>The Parties’ Position after Meet and Confer _______________________________</w:t>
      </w:r>
      <w:r w:rsidRPr="00692BEF">
        <w:rPr>
          <w:b/>
          <w:bCs/>
        </w:rPr>
        <w:br w:type="page"/>
      </w:r>
    </w:p>
    <w:p w14:paraId="35F2EE86" w14:textId="77777777" w:rsidR="0023678C" w:rsidRPr="00295AF6" w:rsidRDefault="0023678C" w:rsidP="0023678C">
      <w:pPr>
        <w:pStyle w:val="ListParagraph"/>
        <w:numPr>
          <w:ilvl w:val="0"/>
          <w:numId w:val="12"/>
        </w:numPr>
        <w:rPr>
          <w:b/>
          <w:bCs/>
        </w:rPr>
      </w:pPr>
      <w:r>
        <w:lastRenderedPageBreak/>
        <w:t xml:space="preserve"> </w:t>
      </w:r>
      <w:r w:rsidRPr="00295AF6">
        <w:rPr>
          <w:b/>
          <w:bCs/>
        </w:rPr>
        <w:t xml:space="preserve">MY’s July 11, 2017 motion </w:t>
      </w:r>
      <w:r>
        <w:rPr>
          <w:b/>
          <w:bCs/>
        </w:rPr>
        <w:t xml:space="preserve">see attached Exhibit C </w:t>
      </w:r>
      <w:r w:rsidRPr="00295AF6">
        <w:rPr>
          <w:b/>
          <w:bCs/>
        </w:rPr>
        <w:t>(in 65) for protective order to Hamed (</w:t>
      </w:r>
      <w:r w:rsidRPr="00295AF6">
        <w:rPr>
          <w:b/>
          <w:bCs/>
          <w:highlight w:val="yellow"/>
        </w:rPr>
        <w:t>Already SOLVED</w:t>
      </w:r>
      <w:r w:rsidRPr="00295AF6">
        <w:rPr>
          <w:b/>
          <w:bCs/>
        </w:rPr>
        <w:t xml:space="preserve">) </w:t>
      </w:r>
    </w:p>
    <w:p w14:paraId="43B55D2D" w14:textId="752B454E" w:rsidR="0023678C" w:rsidRDefault="0023678C" w:rsidP="0023678C">
      <w:pPr>
        <w:pStyle w:val="ListParagraph"/>
        <w:numPr>
          <w:ilvl w:val="0"/>
          <w:numId w:val="14"/>
        </w:numPr>
      </w:pPr>
      <w:r w:rsidRPr="00D018E1">
        <w:rPr>
          <w:b/>
          <w:bCs/>
        </w:rPr>
        <w:t>The Issue</w:t>
      </w:r>
      <w:r>
        <w:t xml:space="preserve">: Manal did not want to come to USVI for her </w:t>
      </w:r>
      <w:r w:rsidR="001E56AE">
        <w:t>depo.</w:t>
      </w:r>
    </w:p>
    <w:p w14:paraId="1FC460AA" w14:textId="77777777" w:rsidR="0023678C" w:rsidRDefault="0023678C" w:rsidP="0023678C">
      <w:pPr>
        <w:pStyle w:val="ListParagraph"/>
        <w:numPr>
          <w:ilvl w:val="0"/>
          <w:numId w:val="14"/>
        </w:numPr>
      </w:pPr>
      <w:r w:rsidRPr="00D018E1">
        <w:rPr>
          <w:b/>
          <w:bCs/>
        </w:rPr>
        <w:t>Hamed legal position</w:t>
      </w:r>
      <w:r>
        <w:t>: She is the plaintiff in a $25 million foreclosure.</w:t>
      </w:r>
    </w:p>
    <w:p w14:paraId="4BBD2104" w14:textId="77777777" w:rsidR="0023678C" w:rsidRPr="00692BEF" w:rsidRDefault="0023678C" w:rsidP="0023678C">
      <w:pPr>
        <w:pStyle w:val="ListParagraph"/>
        <w:numPr>
          <w:ilvl w:val="0"/>
          <w:numId w:val="14"/>
        </w:numPr>
        <w:rPr>
          <w:b/>
          <w:bCs/>
        </w:rPr>
      </w:pPr>
      <w:r w:rsidRPr="00D018E1">
        <w:rPr>
          <w:b/>
          <w:bCs/>
        </w:rPr>
        <w:t xml:space="preserve">Isam Legal position: </w:t>
      </w:r>
      <w:r>
        <w:t>She can’t get there</w:t>
      </w:r>
      <w:proofErr w:type="gramStart"/>
      <w:r>
        <w:t>…..</w:t>
      </w:r>
      <w:proofErr w:type="gramEnd"/>
      <w:r>
        <w:t>and now there is a war.</w:t>
      </w:r>
    </w:p>
    <w:p w14:paraId="31A86654" w14:textId="77777777" w:rsidR="0023678C" w:rsidRDefault="0023678C" w:rsidP="0023678C">
      <w:pPr>
        <w:pStyle w:val="ListParagraph"/>
        <w:numPr>
          <w:ilvl w:val="0"/>
          <w:numId w:val="14"/>
        </w:numPr>
        <w:rPr>
          <w:b/>
          <w:bCs/>
        </w:rPr>
      </w:pPr>
      <w:r>
        <w:rPr>
          <w:b/>
          <w:bCs/>
        </w:rPr>
        <w:t>The Resolution:</w:t>
      </w:r>
    </w:p>
    <w:p w14:paraId="246A701F" w14:textId="77777777" w:rsidR="0023678C" w:rsidRPr="00295AF6" w:rsidRDefault="0023678C" w:rsidP="0023678C">
      <w:pPr>
        <w:ind w:firstLine="720"/>
      </w:pPr>
      <w:r w:rsidRPr="00295AF6">
        <w:t>Manal’s deposition has ALREADY been taken based on this stipulation:</w:t>
      </w:r>
    </w:p>
    <w:p w14:paraId="225C134E" w14:textId="77777777" w:rsidR="0023678C" w:rsidRDefault="0023678C" w:rsidP="0023678C">
      <w:pPr>
        <w:ind w:left="1440"/>
      </w:pPr>
      <w:r w:rsidRPr="00295AF6">
        <w:t>--Hamed can take another video/zoom depo</w:t>
      </w:r>
      <w:r>
        <w:t xml:space="preserve"> of her after all discovery is in but before trial.</w:t>
      </w:r>
    </w:p>
    <w:p w14:paraId="415D5A19" w14:textId="77777777" w:rsidR="0023678C" w:rsidRDefault="0023678C" w:rsidP="0023678C">
      <w:pPr>
        <w:ind w:left="1440"/>
      </w:pPr>
      <w:r>
        <w:t>--Both parties can argue with Court whether she has to attend the trial at that time. If she does not have to attend, a trial testimony will be taken just before the trial and used as her testimony. If she does have to attend, Hamed will pay the witness fee and costs related to her attendance (Travel, lodging, meals).</w:t>
      </w:r>
    </w:p>
    <w:p w14:paraId="355644DA" w14:textId="77777777" w:rsidR="0023678C" w:rsidRDefault="0023678C" w:rsidP="0023678C">
      <w:pPr>
        <w:ind w:left="1440"/>
      </w:pPr>
    </w:p>
    <w:p w14:paraId="499C3BE2" w14:textId="77777777" w:rsidR="0023678C" w:rsidRPr="00BA6C2B" w:rsidRDefault="0023678C" w:rsidP="0023678C">
      <w:pPr>
        <w:pStyle w:val="ListParagraph"/>
        <w:numPr>
          <w:ilvl w:val="0"/>
          <w:numId w:val="12"/>
        </w:numPr>
      </w:pPr>
      <w:r w:rsidRPr="0054539F">
        <w:rPr>
          <w:b/>
          <w:bCs/>
        </w:rPr>
        <w:t>S</w:t>
      </w:r>
      <w:r>
        <w:rPr>
          <w:b/>
          <w:bCs/>
        </w:rPr>
        <w:t xml:space="preserve">ixteen Plus’ </w:t>
      </w:r>
      <w:r w:rsidRPr="0054539F">
        <w:rPr>
          <w:b/>
          <w:bCs/>
        </w:rPr>
        <w:t>January 3, 2023 first motion to compel</w:t>
      </w:r>
      <w:r>
        <w:rPr>
          <w:b/>
          <w:bCs/>
        </w:rPr>
        <w:t xml:space="preserve"> to Manal. See attached Exhibit D.</w:t>
      </w:r>
    </w:p>
    <w:p w14:paraId="09B21B08" w14:textId="77777777" w:rsidR="0023678C" w:rsidRPr="00BA6C2B" w:rsidRDefault="0023678C" w:rsidP="0023678C">
      <w:pPr>
        <w:pStyle w:val="ListParagraph"/>
        <w:ind w:left="1080"/>
      </w:pPr>
    </w:p>
    <w:p w14:paraId="10C3B1CA" w14:textId="77777777" w:rsidR="0023678C" w:rsidRDefault="0023678C" w:rsidP="0023678C">
      <w:pPr>
        <w:pStyle w:val="ListParagraph"/>
        <w:numPr>
          <w:ilvl w:val="0"/>
          <w:numId w:val="15"/>
        </w:numPr>
      </w:pPr>
      <w:r w:rsidRPr="00BA6C2B">
        <w:rPr>
          <w:b/>
          <w:bCs/>
        </w:rPr>
        <w:t>The Issue</w:t>
      </w:r>
      <w:r>
        <w:t xml:space="preserve">: </w:t>
      </w:r>
    </w:p>
    <w:p w14:paraId="3E88487B" w14:textId="77777777" w:rsidR="0023678C"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Sixteen Plus understands that it cannot compel what she says she does not</w:t>
      </w:r>
    </w:p>
    <w:p w14:paraId="0D517612" w14:textId="63E39D3B" w:rsidR="0023678C"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know or have.</w:t>
      </w:r>
      <w:r>
        <w:rPr>
          <w:rFonts w:ascii="Arial" w:hAnsi="Arial" w:cs="Arial"/>
          <w:kern w:val="0"/>
          <w:sz w:val="16"/>
          <w:szCs w:val="16"/>
        </w:rPr>
        <w:t xml:space="preserve"> </w:t>
      </w:r>
      <w:r>
        <w:rPr>
          <w:rFonts w:ascii="Arial" w:hAnsi="Arial" w:cs="Arial"/>
          <w:kern w:val="0"/>
        </w:rPr>
        <w:t>Thus, this motion is limited to five topics:</w:t>
      </w:r>
    </w:p>
    <w:p w14:paraId="092B4CC9" w14:textId="77777777" w:rsidR="0023678C"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1. She has steadfastly refused to provide her address;</w:t>
      </w:r>
    </w:p>
    <w:p w14:paraId="5D2D6FFE" w14:textId="77777777" w:rsidR="0023678C"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2. If Isam did everything for her as her agent (as she states) she has a duty to</w:t>
      </w:r>
    </w:p>
    <w:p w14:paraId="332E4D39" w14:textId="77777777" w:rsidR="0023678C"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interview him, obtain documents from him, and to the extent that he has</w:t>
      </w:r>
    </w:p>
    <w:p w14:paraId="12555768" w14:textId="77777777" w:rsidR="0023678C"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documents or information or is “in control” of it—so is she, and she must get</w:t>
      </w:r>
    </w:p>
    <w:p w14:paraId="6F06E022" w14:textId="77777777" w:rsidR="0023678C"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the documents and information--and supply the results to Sixteen Plus;</w:t>
      </w:r>
    </w:p>
    <w:p w14:paraId="75D170C2" w14:textId="77777777" w:rsidR="0023678C"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3. She has refused to provide, or even approximate numbers with regard to</w:t>
      </w:r>
    </w:p>
    <w:p w14:paraId="7EDFBEC7" w14:textId="77777777" w:rsidR="0023678C"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assets, income, and expenditures—this is critical—she may not know exact</w:t>
      </w:r>
    </w:p>
    <w:p w14:paraId="68A6E5AE" w14:textId="77777777" w:rsidR="0023678C"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amounts, but she can respond with ranges or approximations;</w:t>
      </w:r>
    </w:p>
    <w:p w14:paraId="65C63B1F" w14:textId="77777777" w:rsidR="0023678C"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4. She has refused to provide tax returns for the relevant periods.</w:t>
      </w:r>
    </w:p>
    <w:p w14:paraId="00D6F838" w14:textId="77777777" w:rsidR="0023678C"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5. She has refused to describe the funding of her suit, and its direction by</w:t>
      </w:r>
    </w:p>
    <w:p w14:paraId="51FD3BA8" w14:textId="77777777" w:rsidR="0023678C" w:rsidRPr="00C012E1" w:rsidRDefault="0023678C" w:rsidP="0023678C">
      <w:pPr>
        <w:autoSpaceDE w:val="0"/>
        <w:autoSpaceDN w:val="0"/>
        <w:adjustRightInd w:val="0"/>
        <w:spacing w:after="0" w:line="240" w:lineRule="auto"/>
        <w:ind w:left="720"/>
        <w:rPr>
          <w:rFonts w:ascii="Arial" w:hAnsi="Arial" w:cs="Arial"/>
          <w:kern w:val="0"/>
        </w:rPr>
      </w:pPr>
      <w:r>
        <w:rPr>
          <w:rFonts w:ascii="Arial" w:hAnsi="Arial" w:cs="Arial"/>
          <w:kern w:val="0"/>
        </w:rPr>
        <w:t xml:space="preserve">conspirators. Someone is providing the fees for her—and it is apparent to </w:t>
      </w:r>
      <w:r w:rsidRPr="00C012E1">
        <w:rPr>
          <w:rFonts w:ascii="Arial" w:hAnsi="Arial" w:cs="Arial"/>
          <w:kern w:val="0"/>
        </w:rPr>
        <w:t>Hamed that it is one of the other co-conspirators in the COCO—Isam or Fathi.</w:t>
      </w:r>
    </w:p>
    <w:p w14:paraId="7AE68886" w14:textId="77777777" w:rsidR="0023678C" w:rsidRPr="00C012E1" w:rsidRDefault="0023678C" w:rsidP="0023678C">
      <w:pPr>
        <w:pStyle w:val="ListParagraph"/>
      </w:pPr>
    </w:p>
    <w:p w14:paraId="791088F1" w14:textId="77777777" w:rsidR="0023678C" w:rsidRDefault="0023678C" w:rsidP="0023678C">
      <w:pPr>
        <w:pStyle w:val="ListParagraph"/>
        <w:numPr>
          <w:ilvl w:val="0"/>
          <w:numId w:val="15"/>
        </w:numPr>
      </w:pPr>
      <w:r w:rsidRPr="00D018E1">
        <w:rPr>
          <w:b/>
          <w:bCs/>
        </w:rPr>
        <w:t>Hamed legal position</w:t>
      </w:r>
      <w:r>
        <w:t>: Basic discovery rules</w:t>
      </w:r>
    </w:p>
    <w:p w14:paraId="0A6286F5" w14:textId="77777777" w:rsidR="0023678C" w:rsidRDefault="0023678C" w:rsidP="0023678C">
      <w:pPr>
        <w:pStyle w:val="ListParagraph"/>
        <w:numPr>
          <w:ilvl w:val="0"/>
          <w:numId w:val="15"/>
        </w:numPr>
        <w:rPr>
          <w:b/>
          <w:bCs/>
        </w:rPr>
      </w:pPr>
      <w:r w:rsidRPr="00D018E1">
        <w:rPr>
          <w:b/>
          <w:bCs/>
        </w:rPr>
        <w:t xml:space="preserve">Isam Legal position: </w:t>
      </w:r>
      <w:r>
        <w:t xml:space="preserve">See attached </w:t>
      </w:r>
      <w:r w:rsidRPr="00C012E1">
        <w:rPr>
          <w:b/>
          <w:bCs/>
        </w:rPr>
        <w:t>Exhibit E</w:t>
      </w:r>
    </w:p>
    <w:p w14:paraId="00E00CCC" w14:textId="77777777" w:rsidR="0023678C" w:rsidRDefault="0023678C" w:rsidP="0023678C">
      <w:pPr>
        <w:pStyle w:val="ListParagraph"/>
        <w:numPr>
          <w:ilvl w:val="0"/>
          <w:numId w:val="15"/>
        </w:numPr>
        <w:rPr>
          <w:b/>
          <w:bCs/>
        </w:rPr>
      </w:pPr>
      <w:r>
        <w:rPr>
          <w:b/>
          <w:bCs/>
        </w:rPr>
        <w:lastRenderedPageBreak/>
        <w:t>Sixteen Plus Reply: See attached Exhibit F.</w:t>
      </w:r>
    </w:p>
    <w:p w14:paraId="2E578C88" w14:textId="77777777" w:rsidR="0023678C" w:rsidRPr="00692BEF" w:rsidRDefault="0023678C" w:rsidP="0023678C">
      <w:pPr>
        <w:pStyle w:val="ListParagraph"/>
        <w:numPr>
          <w:ilvl w:val="0"/>
          <w:numId w:val="15"/>
        </w:numPr>
        <w:rPr>
          <w:b/>
          <w:bCs/>
        </w:rPr>
      </w:pPr>
      <w:r>
        <w:rPr>
          <w:b/>
          <w:bCs/>
        </w:rPr>
        <w:t>Resolution of the parties at M&amp;C_______________________________________</w:t>
      </w:r>
    </w:p>
    <w:p w14:paraId="136EC6D1" w14:textId="77777777" w:rsidR="000D68BB" w:rsidRDefault="000D68BB" w:rsidP="006318A0">
      <w:pPr>
        <w:autoSpaceDE w:val="0"/>
        <w:autoSpaceDN w:val="0"/>
        <w:adjustRightInd w:val="0"/>
        <w:spacing w:after="0" w:line="480" w:lineRule="auto"/>
        <w:rPr>
          <w:rFonts w:ascii="Arial" w:hAnsi="Arial" w:cs="Arial"/>
          <w:color w:val="666666"/>
          <w:kern w:val="0"/>
        </w:rPr>
      </w:pPr>
    </w:p>
    <w:p w14:paraId="1695DCE6" w14:textId="2AA1921A" w:rsidR="0023678C" w:rsidRDefault="005807AD" w:rsidP="006318A0">
      <w:pPr>
        <w:autoSpaceDE w:val="0"/>
        <w:autoSpaceDN w:val="0"/>
        <w:adjustRightInd w:val="0"/>
        <w:spacing w:after="0" w:line="480" w:lineRule="auto"/>
        <w:rPr>
          <w:rFonts w:ascii="Arial" w:hAnsi="Arial" w:cs="Arial"/>
          <w:color w:val="666666"/>
          <w:kern w:val="0"/>
        </w:rPr>
      </w:pPr>
      <w:r>
        <w:rPr>
          <w:rFonts w:ascii="Arial" w:hAnsi="Arial" w:cs="Arial"/>
          <w:color w:val="666666"/>
          <w:kern w:val="0"/>
        </w:rPr>
        <w:t>I hope this has been helpful.</w:t>
      </w:r>
      <w:r w:rsidRPr="005807AD">
        <w:rPr>
          <w:rFonts w:ascii="Arial" w:hAnsi="Arial" w:cs="Arial"/>
          <w:color w:val="666666"/>
          <w:kern w:val="0"/>
        </w:rPr>
        <w:t xml:space="preserve"> </w:t>
      </w:r>
      <w:r>
        <w:rPr>
          <w:rFonts w:ascii="Arial" w:hAnsi="Arial" w:cs="Arial"/>
          <w:color w:val="666666"/>
          <w:kern w:val="0"/>
        </w:rPr>
        <w:t>Please let me know your thoughts.</w:t>
      </w:r>
    </w:p>
    <w:p w14:paraId="4F7793D6" w14:textId="399EA7BD" w:rsidR="00216311" w:rsidRDefault="00216311" w:rsidP="006318A0">
      <w:pPr>
        <w:autoSpaceDE w:val="0"/>
        <w:autoSpaceDN w:val="0"/>
        <w:adjustRightInd w:val="0"/>
        <w:spacing w:after="0" w:line="480" w:lineRule="auto"/>
        <w:rPr>
          <w:rFonts w:ascii="Arial" w:hAnsi="Arial" w:cs="Arial"/>
          <w:color w:val="666666"/>
          <w:kern w:val="0"/>
        </w:rPr>
      </w:pPr>
      <w:r>
        <w:rPr>
          <w:rFonts w:ascii="Arial" w:hAnsi="Arial" w:cs="Arial"/>
          <w:color w:val="666666"/>
          <w:kern w:val="0"/>
        </w:rPr>
        <w:t>Thank you,</w:t>
      </w:r>
    </w:p>
    <w:p w14:paraId="21C9984D" w14:textId="77777777" w:rsidR="00DA47E6" w:rsidRDefault="00DA47E6" w:rsidP="00DA47E6">
      <w:pPr>
        <w:autoSpaceDE w:val="0"/>
        <w:autoSpaceDN w:val="0"/>
        <w:adjustRightInd w:val="0"/>
        <w:spacing w:after="0" w:line="240" w:lineRule="auto"/>
        <w:rPr>
          <w:rFonts w:ascii="CarlHartmann" w:hAnsi="CarlHartmann" w:cs="Arial"/>
          <w:b/>
          <w:bCs/>
          <w:color w:val="4C94D8" w:themeColor="text2" w:themeTint="80"/>
          <w:kern w:val="0"/>
          <w:sz w:val="88"/>
          <w:szCs w:val="88"/>
        </w:rPr>
      </w:pPr>
      <w:r w:rsidRPr="00DA47E6">
        <w:rPr>
          <w:rFonts w:ascii="CarlHartmann" w:hAnsi="CarlHartmann" w:cs="Arial"/>
          <w:b/>
          <w:bCs/>
          <w:color w:val="4C94D8" w:themeColor="text2" w:themeTint="80"/>
          <w:kern w:val="0"/>
          <w:sz w:val="88"/>
          <w:szCs w:val="88"/>
        </w:rPr>
        <w:t>A</w:t>
      </w:r>
    </w:p>
    <w:p w14:paraId="7F1113E2" w14:textId="39237EF0" w:rsidR="00216311" w:rsidRDefault="00216311" w:rsidP="006318A0">
      <w:pPr>
        <w:autoSpaceDE w:val="0"/>
        <w:autoSpaceDN w:val="0"/>
        <w:adjustRightInd w:val="0"/>
        <w:spacing w:after="0" w:line="480" w:lineRule="auto"/>
        <w:rPr>
          <w:rFonts w:ascii="Arial" w:hAnsi="Arial" w:cs="Arial"/>
          <w:color w:val="666666"/>
          <w:kern w:val="0"/>
        </w:rPr>
      </w:pPr>
      <w:r>
        <w:rPr>
          <w:rFonts w:ascii="Arial" w:hAnsi="Arial" w:cs="Arial"/>
          <w:color w:val="666666"/>
          <w:kern w:val="0"/>
        </w:rPr>
        <w:t>Carl J. Hartmann</w:t>
      </w:r>
    </w:p>
    <w:p w14:paraId="7A0787AE" w14:textId="68AEEAE4" w:rsidR="00216311" w:rsidRDefault="00216311" w:rsidP="006318A0">
      <w:pPr>
        <w:autoSpaceDE w:val="0"/>
        <w:autoSpaceDN w:val="0"/>
        <w:adjustRightInd w:val="0"/>
        <w:spacing w:after="0" w:line="480" w:lineRule="auto"/>
        <w:rPr>
          <w:rFonts w:ascii="Arial" w:hAnsi="Arial" w:cs="Arial"/>
          <w:color w:val="666666"/>
          <w:kern w:val="0"/>
        </w:rPr>
      </w:pPr>
      <w:r>
        <w:rPr>
          <w:rFonts w:ascii="Arial" w:hAnsi="Arial" w:cs="Arial"/>
          <w:color w:val="666666"/>
          <w:kern w:val="0"/>
        </w:rPr>
        <w:t>cc; All counsel in 65, 342 and 650</w:t>
      </w:r>
    </w:p>
    <w:p w14:paraId="32451A60" w14:textId="77777777" w:rsidR="00216311" w:rsidRPr="0013163C" w:rsidRDefault="00216311" w:rsidP="006318A0">
      <w:pPr>
        <w:autoSpaceDE w:val="0"/>
        <w:autoSpaceDN w:val="0"/>
        <w:adjustRightInd w:val="0"/>
        <w:spacing w:after="0" w:line="480" w:lineRule="auto"/>
        <w:rPr>
          <w:rFonts w:ascii="Arial" w:hAnsi="Arial" w:cs="Arial"/>
          <w:color w:val="666666"/>
          <w:kern w:val="0"/>
        </w:rPr>
      </w:pPr>
    </w:p>
    <w:p w14:paraId="779FECDD" w14:textId="77777777" w:rsidR="006318A0" w:rsidRPr="0013163C" w:rsidRDefault="006318A0" w:rsidP="006318A0">
      <w:pPr>
        <w:autoSpaceDE w:val="0"/>
        <w:autoSpaceDN w:val="0"/>
        <w:adjustRightInd w:val="0"/>
        <w:spacing w:after="0" w:line="480" w:lineRule="auto"/>
        <w:rPr>
          <w:rFonts w:ascii="Arial" w:hAnsi="Arial" w:cs="Arial"/>
          <w:color w:val="666666"/>
          <w:kern w:val="0"/>
        </w:rPr>
      </w:pPr>
    </w:p>
    <w:p w14:paraId="628E7CD8" w14:textId="69C101FB" w:rsidR="006318A0" w:rsidRDefault="006318A0" w:rsidP="006318A0">
      <w:pPr>
        <w:autoSpaceDE w:val="0"/>
        <w:autoSpaceDN w:val="0"/>
        <w:adjustRightInd w:val="0"/>
        <w:spacing w:after="0" w:line="480" w:lineRule="auto"/>
        <w:rPr>
          <w:rFonts w:ascii="Arial" w:hAnsi="Arial" w:cs="Arial"/>
          <w:color w:val="666666"/>
          <w:kern w:val="0"/>
        </w:rPr>
      </w:pPr>
    </w:p>
    <w:p w14:paraId="7690E8C0" w14:textId="77777777" w:rsidR="00357B7B" w:rsidRPr="0013163C" w:rsidRDefault="00357B7B" w:rsidP="006318A0">
      <w:pPr>
        <w:autoSpaceDE w:val="0"/>
        <w:autoSpaceDN w:val="0"/>
        <w:adjustRightInd w:val="0"/>
        <w:spacing w:after="0" w:line="480" w:lineRule="auto"/>
        <w:rPr>
          <w:rFonts w:ascii="Arial" w:hAnsi="Arial" w:cs="Arial"/>
          <w:color w:val="666666"/>
          <w:kern w:val="0"/>
        </w:rPr>
      </w:pPr>
    </w:p>
    <w:p w14:paraId="4DB93D64" w14:textId="77777777" w:rsidR="006318A0" w:rsidRPr="0013163C" w:rsidRDefault="006318A0" w:rsidP="006318A0">
      <w:pPr>
        <w:autoSpaceDE w:val="0"/>
        <w:autoSpaceDN w:val="0"/>
        <w:adjustRightInd w:val="0"/>
        <w:spacing w:after="0" w:line="480" w:lineRule="auto"/>
        <w:rPr>
          <w:rFonts w:ascii="Arial" w:hAnsi="Arial" w:cs="Arial"/>
          <w:kern w:val="0"/>
        </w:rPr>
      </w:pPr>
    </w:p>
    <w:sectPr w:rsidR="006318A0" w:rsidRPr="0013163C" w:rsidSect="006A31A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8DAED" w14:textId="77777777" w:rsidR="009C2C60" w:rsidRDefault="009C2C60" w:rsidP="00692E3B">
      <w:pPr>
        <w:spacing w:after="0" w:line="240" w:lineRule="auto"/>
      </w:pPr>
      <w:r>
        <w:separator/>
      </w:r>
    </w:p>
  </w:endnote>
  <w:endnote w:type="continuationSeparator" w:id="0">
    <w:p w14:paraId="5EAE2FF6" w14:textId="77777777" w:rsidR="009C2C60" w:rsidRDefault="009C2C60" w:rsidP="0069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FA20C" w14:textId="77777777" w:rsidR="006A31AD" w:rsidRDefault="006A31AD">
    <w:pPr>
      <w:pStyle w:val="Footer"/>
    </w:pPr>
  </w:p>
  <w:p w14:paraId="38D4C757" w14:textId="77777777" w:rsidR="006A31AD" w:rsidRDefault="006A31AD" w:rsidP="006A31AD">
    <w:pPr>
      <w:pStyle w:val="Footer"/>
      <w:jc w:val="center"/>
    </w:pPr>
  </w:p>
  <w:p w14:paraId="6AE9850B" w14:textId="073935E2" w:rsidR="006A31AD" w:rsidRDefault="006A31AD" w:rsidP="006A31AD">
    <w:pPr>
      <w:pStyle w:val="Footer"/>
      <w:jc w:val="center"/>
    </w:pPr>
    <w:r>
      <w:t xml:space="preserve">PAGE </w:t>
    </w:r>
    <w:sdt>
      <w:sdtPr>
        <w:id w:val="21029884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DD92096" w14:textId="1F285FA2" w:rsidR="006A31AD" w:rsidRDefault="006A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77C87" w14:textId="77777777" w:rsidR="009C2C60" w:rsidRDefault="009C2C60" w:rsidP="00692E3B">
      <w:pPr>
        <w:spacing w:after="0" w:line="240" w:lineRule="auto"/>
      </w:pPr>
      <w:r>
        <w:separator/>
      </w:r>
    </w:p>
  </w:footnote>
  <w:footnote w:type="continuationSeparator" w:id="0">
    <w:p w14:paraId="123C5D3A" w14:textId="77777777" w:rsidR="009C2C60" w:rsidRDefault="009C2C60" w:rsidP="00692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840F0"/>
    <w:multiLevelType w:val="hybridMultilevel"/>
    <w:tmpl w:val="6DFCC284"/>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B539F"/>
    <w:multiLevelType w:val="hybridMultilevel"/>
    <w:tmpl w:val="5B346828"/>
    <w:lvl w:ilvl="0" w:tplc="2EACD9F0">
      <w:start w:val="650"/>
      <w:numFmt w:val="decimal"/>
      <w:lvlText w:val="%1"/>
      <w:lvlJc w:val="left"/>
      <w:pPr>
        <w:ind w:left="396" w:hanging="39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516A83"/>
    <w:multiLevelType w:val="hybridMultilevel"/>
    <w:tmpl w:val="70085AA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0F1434A"/>
    <w:multiLevelType w:val="hybridMultilevel"/>
    <w:tmpl w:val="F22AEB5E"/>
    <w:lvl w:ilvl="0" w:tplc="52AC0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462EF"/>
    <w:multiLevelType w:val="hybridMultilevel"/>
    <w:tmpl w:val="CFB8761A"/>
    <w:lvl w:ilvl="0" w:tplc="9ED49E0C">
      <w:start w:val="1"/>
      <w:numFmt w:val="upperLetter"/>
      <w:lvlText w:val="%1."/>
      <w:lvlJc w:val="left"/>
      <w:pPr>
        <w:ind w:left="720" w:hanging="360"/>
      </w:pPr>
      <w:rPr>
        <w:rFonts w:ascii="CIDFont+F1" w:hAnsi="CIDFont+F1" w:cs="CIDFont+F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45D94"/>
    <w:multiLevelType w:val="hybridMultilevel"/>
    <w:tmpl w:val="BBD8FA6E"/>
    <w:lvl w:ilvl="0" w:tplc="AD1C92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D5098"/>
    <w:multiLevelType w:val="hybridMultilevel"/>
    <w:tmpl w:val="06FEA3E8"/>
    <w:lvl w:ilvl="0" w:tplc="A4525DF6">
      <w:start w:val="650"/>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F0686"/>
    <w:multiLevelType w:val="hybridMultilevel"/>
    <w:tmpl w:val="1396AF94"/>
    <w:lvl w:ilvl="0" w:tplc="36C449A8">
      <w:start w:val="2"/>
      <w:numFmt w:val="lowerLetter"/>
      <w:lvlText w:val="%1."/>
      <w:lvlJc w:val="left"/>
      <w:pPr>
        <w:ind w:left="1080" w:hanging="360"/>
      </w:pPr>
      <w:rPr>
        <w:rFonts w:hint="default"/>
        <w:b/>
        <w:color w:val="52525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303DB6"/>
    <w:multiLevelType w:val="hybridMultilevel"/>
    <w:tmpl w:val="6DFCC284"/>
    <w:lvl w:ilvl="0" w:tplc="AD1C92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34361"/>
    <w:multiLevelType w:val="hybridMultilevel"/>
    <w:tmpl w:val="F3606664"/>
    <w:lvl w:ilvl="0" w:tplc="A7141592">
      <w:start w:val="1"/>
      <w:numFmt w:val="lowerLetter"/>
      <w:lvlText w:val="%1."/>
      <w:lvlJc w:val="left"/>
      <w:pPr>
        <w:ind w:left="720" w:hanging="360"/>
      </w:pPr>
      <w:rPr>
        <w:rFonts w:ascii="CIDFont+F1" w:hAnsi="CIDFont+F1" w:cs="CIDFont+F1"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F27DA"/>
    <w:multiLevelType w:val="hybridMultilevel"/>
    <w:tmpl w:val="70085AA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60671FE4"/>
    <w:multiLevelType w:val="hybridMultilevel"/>
    <w:tmpl w:val="57ACD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76076"/>
    <w:multiLevelType w:val="hybridMultilevel"/>
    <w:tmpl w:val="BDC0E1D8"/>
    <w:lvl w:ilvl="0" w:tplc="921A7B68">
      <w:start w:val="1"/>
      <w:numFmt w:val="lowerLetter"/>
      <w:lvlText w:val="%1."/>
      <w:lvlJc w:val="left"/>
      <w:pPr>
        <w:ind w:left="720" w:hanging="360"/>
      </w:pPr>
      <w:rPr>
        <w:rFonts w:hint="default"/>
        <w:color w:val="5252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474A5"/>
    <w:multiLevelType w:val="hybridMultilevel"/>
    <w:tmpl w:val="70085AAE"/>
    <w:lvl w:ilvl="0" w:tplc="15D865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317805"/>
    <w:multiLevelType w:val="hybridMultilevel"/>
    <w:tmpl w:val="DD92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461694">
    <w:abstractNumId w:val="13"/>
  </w:num>
  <w:num w:numId="2" w16cid:durableId="295960974">
    <w:abstractNumId w:val="10"/>
  </w:num>
  <w:num w:numId="3" w16cid:durableId="1912763446">
    <w:abstractNumId w:val="2"/>
  </w:num>
  <w:num w:numId="4" w16cid:durableId="663093813">
    <w:abstractNumId w:val="4"/>
  </w:num>
  <w:num w:numId="5" w16cid:durableId="1919048258">
    <w:abstractNumId w:val="6"/>
  </w:num>
  <w:num w:numId="6" w16cid:durableId="1481801234">
    <w:abstractNumId w:val="9"/>
  </w:num>
  <w:num w:numId="7" w16cid:durableId="2140217456">
    <w:abstractNumId w:val="1"/>
  </w:num>
  <w:num w:numId="8" w16cid:durableId="537549214">
    <w:abstractNumId w:val="12"/>
  </w:num>
  <w:num w:numId="9" w16cid:durableId="706372178">
    <w:abstractNumId w:val="11"/>
  </w:num>
  <w:num w:numId="10" w16cid:durableId="1412384272">
    <w:abstractNumId w:val="7"/>
  </w:num>
  <w:num w:numId="11" w16cid:durableId="332999031">
    <w:abstractNumId w:val="14"/>
  </w:num>
  <w:num w:numId="12" w16cid:durableId="1388843366">
    <w:abstractNumId w:val="3"/>
  </w:num>
  <w:num w:numId="13" w16cid:durableId="338822212">
    <w:abstractNumId w:val="8"/>
  </w:num>
  <w:num w:numId="14" w16cid:durableId="1713845415">
    <w:abstractNumId w:val="0"/>
  </w:num>
  <w:num w:numId="15" w16cid:durableId="4023415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C5"/>
    <w:rsid w:val="000A4061"/>
    <w:rsid w:val="000D68BB"/>
    <w:rsid w:val="0013163C"/>
    <w:rsid w:val="001D05B0"/>
    <w:rsid w:val="001E56AE"/>
    <w:rsid w:val="00216311"/>
    <w:rsid w:val="0023678C"/>
    <w:rsid w:val="002D3ED0"/>
    <w:rsid w:val="0031354F"/>
    <w:rsid w:val="00315C0B"/>
    <w:rsid w:val="00330FEE"/>
    <w:rsid w:val="003442D2"/>
    <w:rsid w:val="00357B7B"/>
    <w:rsid w:val="004A0E0A"/>
    <w:rsid w:val="004B06B5"/>
    <w:rsid w:val="005807AD"/>
    <w:rsid w:val="0059414F"/>
    <w:rsid w:val="00612D66"/>
    <w:rsid w:val="00617B10"/>
    <w:rsid w:val="006318A0"/>
    <w:rsid w:val="00692E3B"/>
    <w:rsid w:val="006A31AD"/>
    <w:rsid w:val="00751A31"/>
    <w:rsid w:val="007E539D"/>
    <w:rsid w:val="008149E7"/>
    <w:rsid w:val="008A3508"/>
    <w:rsid w:val="008F258D"/>
    <w:rsid w:val="00953C4E"/>
    <w:rsid w:val="009C2C60"/>
    <w:rsid w:val="009D04F3"/>
    <w:rsid w:val="00A04A5C"/>
    <w:rsid w:val="00A259AE"/>
    <w:rsid w:val="00A872D3"/>
    <w:rsid w:val="00B81295"/>
    <w:rsid w:val="00BB6262"/>
    <w:rsid w:val="00BC73DD"/>
    <w:rsid w:val="00C4224F"/>
    <w:rsid w:val="00DA47E6"/>
    <w:rsid w:val="00E81EC5"/>
    <w:rsid w:val="00F8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D09F"/>
  <w15:chartTrackingRefBased/>
  <w15:docId w15:val="{0A5E2406-43B5-46D0-A704-8F0BA453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7E6"/>
  </w:style>
  <w:style w:type="paragraph" w:styleId="Heading1">
    <w:name w:val="heading 1"/>
    <w:basedOn w:val="Normal"/>
    <w:next w:val="Normal"/>
    <w:link w:val="Heading1Char"/>
    <w:uiPriority w:val="9"/>
    <w:qFormat/>
    <w:rsid w:val="00E81E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1E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1E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1E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1E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1E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1E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1E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1E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E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1E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1E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1E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1E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1E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1E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1E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1EC5"/>
    <w:rPr>
      <w:rFonts w:eastAsiaTheme="majorEastAsia" w:cstheme="majorBidi"/>
      <w:color w:val="272727" w:themeColor="text1" w:themeTint="D8"/>
    </w:rPr>
  </w:style>
  <w:style w:type="paragraph" w:styleId="Title">
    <w:name w:val="Title"/>
    <w:basedOn w:val="Normal"/>
    <w:next w:val="Normal"/>
    <w:link w:val="TitleChar"/>
    <w:uiPriority w:val="10"/>
    <w:qFormat/>
    <w:rsid w:val="00E81E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E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1E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1E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1EC5"/>
    <w:pPr>
      <w:spacing w:before="160"/>
      <w:jc w:val="center"/>
    </w:pPr>
    <w:rPr>
      <w:i/>
      <w:iCs/>
      <w:color w:val="404040" w:themeColor="text1" w:themeTint="BF"/>
    </w:rPr>
  </w:style>
  <w:style w:type="character" w:customStyle="1" w:styleId="QuoteChar">
    <w:name w:val="Quote Char"/>
    <w:basedOn w:val="DefaultParagraphFont"/>
    <w:link w:val="Quote"/>
    <w:uiPriority w:val="29"/>
    <w:rsid w:val="00E81EC5"/>
    <w:rPr>
      <w:i/>
      <w:iCs/>
      <w:color w:val="404040" w:themeColor="text1" w:themeTint="BF"/>
    </w:rPr>
  </w:style>
  <w:style w:type="paragraph" w:styleId="ListParagraph">
    <w:name w:val="List Paragraph"/>
    <w:basedOn w:val="Normal"/>
    <w:uiPriority w:val="34"/>
    <w:qFormat/>
    <w:rsid w:val="00E81EC5"/>
    <w:pPr>
      <w:ind w:left="720"/>
      <w:contextualSpacing/>
    </w:pPr>
  </w:style>
  <w:style w:type="character" w:styleId="IntenseEmphasis">
    <w:name w:val="Intense Emphasis"/>
    <w:basedOn w:val="DefaultParagraphFont"/>
    <w:uiPriority w:val="21"/>
    <w:qFormat/>
    <w:rsid w:val="00E81EC5"/>
    <w:rPr>
      <w:i/>
      <w:iCs/>
      <w:color w:val="0F4761" w:themeColor="accent1" w:themeShade="BF"/>
    </w:rPr>
  </w:style>
  <w:style w:type="paragraph" w:styleId="IntenseQuote">
    <w:name w:val="Intense Quote"/>
    <w:basedOn w:val="Normal"/>
    <w:next w:val="Normal"/>
    <w:link w:val="IntenseQuoteChar"/>
    <w:uiPriority w:val="30"/>
    <w:qFormat/>
    <w:rsid w:val="00E81E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1EC5"/>
    <w:rPr>
      <w:i/>
      <w:iCs/>
      <w:color w:val="0F4761" w:themeColor="accent1" w:themeShade="BF"/>
    </w:rPr>
  </w:style>
  <w:style w:type="character" w:styleId="IntenseReference">
    <w:name w:val="Intense Reference"/>
    <w:basedOn w:val="DefaultParagraphFont"/>
    <w:uiPriority w:val="32"/>
    <w:qFormat/>
    <w:rsid w:val="00E81EC5"/>
    <w:rPr>
      <w:b/>
      <w:bCs/>
      <w:smallCaps/>
      <w:color w:val="0F4761" w:themeColor="accent1" w:themeShade="BF"/>
      <w:spacing w:val="5"/>
    </w:rPr>
  </w:style>
  <w:style w:type="paragraph" w:styleId="FootnoteText">
    <w:name w:val="footnote text"/>
    <w:basedOn w:val="Normal"/>
    <w:link w:val="FootnoteTextChar"/>
    <w:uiPriority w:val="99"/>
    <w:unhideWhenUsed/>
    <w:rsid w:val="00692E3B"/>
    <w:pPr>
      <w:spacing w:after="0" w:line="240" w:lineRule="auto"/>
    </w:pPr>
    <w:rPr>
      <w:sz w:val="20"/>
      <w:szCs w:val="20"/>
    </w:rPr>
  </w:style>
  <w:style w:type="character" w:customStyle="1" w:styleId="FootnoteTextChar">
    <w:name w:val="Footnote Text Char"/>
    <w:basedOn w:val="DefaultParagraphFont"/>
    <w:link w:val="FootnoteText"/>
    <w:uiPriority w:val="99"/>
    <w:rsid w:val="00692E3B"/>
    <w:rPr>
      <w:sz w:val="20"/>
      <w:szCs w:val="20"/>
    </w:rPr>
  </w:style>
  <w:style w:type="character" w:styleId="FootnoteReference">
    <w:name w:val="footnote reference"/>
    <w:basedOn w:val="DefaultParagraphFont"/>
    <w:uiPriority w:val="99"/>
    <w:semiHidden/>
    <w:unhideWhenUsed/>
    <w:rsid w:val="00692E3B"/>
    <w:rPr>
      <w:vertAlign w:val="superscript"/>
    </w:rPr>
  </w:style>
  <w:style w:type="paragraph" w:styleId="Header">
    <w:name w:val="header"/>
    <w:basedOn w:val="Normal"/>
    <w:link w:val="HeaderChar"/>
    <w:uiPriority w:val="99"/>
    <w:unhideWhenUsed/>
    <w:rsid w:val="006A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AD"/>
  </w:style>
  <w:style w:type="paragraph" w:styleId="Footer">
    <w:name w:val="footer"/>
    <w:basedOn w:val="Normal"/>
    <w:link w:val="FooterChar"/>
    <w:uiPriority w:val="99"/>
    <w:unhideWhenUsed/>
    <w:rsid w:val="006A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AD"/>
  </w:style>
  <w:style w:type="character" w:styleId="Hyperlink">
    <w:name w:val="Hyperlink"/>
    <w:basedOn w:val="DefaultParagraphFont"/>
    <w:uiPriority w:val="99"/>
    <w:unhideWhenUsed/>
    <w:rsid w:val="00216311"/>
    <w:rPr>
      <w:color w:val="467886" w:themeColor="hyperlink"/>
      <w:u w:val="single"/>
    </w:rPr>
  </w:style>
  <w:style w:type="character" w:styleId="UnresolvedMention">
    <w:name w:val="Unresolved Mention"/>
    <w:basedOn w:val="DefaultParagraphFont"/>
    <w:uiPriority w:val="99"/>
    <w:semiHidden/>
    <w:unhideWhenUsed/>
    <w:rsid w:val="00216311"/>
    <w:rPr>
      <w:color w:val="605E5C"/>
      <w:shd w:val="clear" w:color="auto" w:fill="E1DFDD"/>
    </w:rPr>
  </w:style>
  <w:style w:type="paragraph" w:customStyle="1" w:styleId="Default">
    <w:name w:val="Default"/>
    <w:rsid w:val="00DA47E6"/>
    <w:pPr>
      <w:autoSpaceDE w:val="0"/>
      <w:autoSpaceDN w:val="0"/>
      <w:adjustRightInd w:val="0"/>
      <w:spacing w:after="0" w:line="240" w:lineRule="auto"/>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rames@ramesla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1009</Words>
  <Characters>4837</Characters>
  <Application>Microsoft Office Word</Application>
  <DocSecurity>0</DocSecurity>
  <Lines>130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dcterms:created xsi:type="dcterms:W3CDTF">2024-06-29T16:58:00Z</dcterms:created>
  <dcterms:modified xsi:type="dcterms:W3CDTF">2024-06-29T16:58:00Z</dcterms:modified>
</cp:coreProperties>
</file>